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D47" w:rsidRDefault="00A81D4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A81D4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84245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activitate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catedrei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INVATATORILOR </w:t>
      </w:r>
    </w:p>
    <w:p w:rsidR="00A81D47" w:rsidRDefault="0084245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pe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semestru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 al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scolar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2019-2020</w:t>
      </w:r>
    </w:p>
    <w:p w:rsidR="00A81D47" w:rsidRDefault="0084245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81D47" w:rsidRDefault="00A81D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84245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Prezentul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prezinta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componenta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catedrei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sintetizeaza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principalele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derulate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anuui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scolar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2019-2020.</w:t>
      </w:r>
    </w:p>
    <w:p w:rsidR="00A81D47" w:rsidRDefault="0084245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Catedra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ciclul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traditional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alternativa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educationala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Step by Step </w:t>
      </w:r>
    </w:p>
    <w:p w:rsidR="00A81D47" w:rsidRDefault="0084245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Sef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catedra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prof. pt. inv.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Lavinia Valentina </w:t>
      </w:r>
    </w:p>
    <w:p w:rsidR="00A81D47" w:rsidRDefault="00842452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Obiective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urmarite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CURRICULUM</w:t>
      </w:r>
    </w:p>
    <w:p w:rsidR="00A81D47" w:rsidRDefault="008424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Cresterea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calitatii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educational;</w:t>
      </w:r>
    </w:p>
    <w:p w:rsidR="00A81D47" w:rsidRDefault="008424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Utilizarea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eficienta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metodelor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instrumentelor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sumativa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cat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formativa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intregului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construirea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unitar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coerent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performantelor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pornind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competente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specifice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programele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ciclu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invatamant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interna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81D47" w:rsidRDefault="008424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Obtinere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rezultate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concursurile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RESURSE UMANE</w:t>
      </w:r>
    </w:p>
    <w:p w:rsidR="00A81D47" w:rsidRDefault="008424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actiuni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continua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membrilor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comisiei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metodice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RESURSE MATERIALE SI FINANCIARE</w:t>
      </w:r>
    </w:p>
    <w:p w:rsidR="00A81D47" w:rsidRDefault="008424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Ameliorarea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calitatii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bazei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existente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dotarea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reparatii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achizitionarea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material didactic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producatorii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existenti</w:t>
      </w:r>
      <w:proofErr w:type="spellEnd"/>
    </w:p>
    <w:p w:rsidR="00A81D47" w:rsidRDefault="00A81D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DEZVOLTAREA COMUNITARA</w:t>
      </w:r>
    </w:p>
    <w:p w:rsidR="00A81D47" w:rsidRDefault="008424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competitii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permita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valorificarea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creativitatii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valorizarea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acestora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expozitii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colaborarea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autoritatile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locale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implicate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profesorii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colegiul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nostru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ceilalti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profesori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implicati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comune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81D47" w:rsidRDefault="008424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PLANIFICAREA SI REALIZAREA ACTIVITATILOR DE INVATARE         ( CURRICULARE SI EXTRACURRICULARE)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Planicarile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riguros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intocmite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insusirea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cunostinte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dezvoltarea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competente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abordarii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transdisciplinare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transcurriculare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continuturilor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vigoare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tinandu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integrata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elev. 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Analiza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instructiv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-educat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desfasurata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scolar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2019-2020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raportata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obiectivele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prioritare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planul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managerial 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catedrei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invatatorilor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Colegiul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Tehnic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Apulum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Precizari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81D47" w:rsidRDefault="008424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Lectiile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avut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caracter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integrat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activitatile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centrate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utilizate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strategii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diferentiate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predare-invatare-evaluare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imbinate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metodele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traditionale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modern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activitatilor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initiale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/pre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dictive,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formative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evaluarile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sumative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incercat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surprinda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gradul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competentelor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urmarite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semestrului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comisiei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metodice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sustinut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lectii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demonstrative care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evaluate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interasistentelor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S-au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intocmit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asistenta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lectie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invatatorii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folosit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strategii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variate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z w:val="24"/>
          <w:szCs w:val="24"/>
        </w:rPr>
        <w:t>aptate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caracteristicilor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psihoindividuale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riguroasa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corecta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relevanta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cunostintelor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insusite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competentelor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dobandite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acestia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demostrat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tact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cunostinte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psihopeda</w:t>
      </w:r>
      <w:r>
        <w:rPr>
          <w:rFonts w:ascii="Times New Roman" w:eastAsia="Times New Roman" w:hAnsi="Times New Roman" w:cs="Times New Roman"/>
          <w:sz w:val="24"/>
          <w:szCs w:val="24"/>
        </w:rPr>
        <w:t>gogice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eficiente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interactiunea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motivatoare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stimulante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1D47" w:rsidRDefault="008424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ACTIVITATEA EXTRACURRICULARA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extracurriculare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vizat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formarea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competentelor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capacitatilor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intelectuale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atitudinilor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comportamentelor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dezirabile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calitatea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performante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asigurandu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prepoderenta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metodelor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interactive,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precum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raportarea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81D47" w:rsidRDefault="008424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PROIECTE DE PARTENERIAT (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scolar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2019-2020)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Copil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ca tine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!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Gradinitele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P.P.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9, 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 De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gradinita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scoala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Gradinita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P.P.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11Alba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Vrei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prieteni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Liceul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Tehnologic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Alexandru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Domsa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Alba Iul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Sarbatorile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copilariei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Gimnaziala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“Ion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Breazu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Mihalt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Liceul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Sportiv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Clubul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lectura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biblioteca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documentare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centenara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Muzeul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lba Iulia;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Muzeul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Engleza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cant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joc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Palatul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Alba Iulia 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IV a A);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Palatul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Alba Iulia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pregatitoare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 a step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step, a III a step by step)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 Lucian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Blaga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Zilele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Bibliotecii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judetene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“ Lucian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Blaga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Biblioteca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Judeteana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“Lucian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Blaga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filiala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Cetate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Biblioteca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Judeteana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“Lucian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Blaga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“Luna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Bibliotecii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solare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parteneriat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Centrul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Documentare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Informare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Colegiului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Tehnic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Aplum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Proiectul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SNAC –“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Saptamana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fructelor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legumelor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”,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Colegiul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Tehnic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Apulum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Alba Iulia;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Proiectul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“ Shoe Box”,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Colegiul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Tehnic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Apulum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Alba Iulia;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ACTIVITATEA DE PERFECTIONARE </w:t>
      </w: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Cursuri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perfectionare</w:t>
      </w:r>
      <w:proofErr w:type="spellEnd"/>
    </w:p>
    <w:p w:rsidR="00A81D47" w:rsidRDefault="0084245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Luna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decembrie</w:t>
      </w:r>
      <w:proofErr w:type="spellEnd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Cursul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International “Management educational: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solutii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inovatoare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educatie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parcurs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Valentina;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“CRED- Curriculum Relevant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Educatie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Deschisa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parcurs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Dragomirescu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Lia;</w:t>
      </w:r>
      <w:bookmarkStart w:id="0" w:name="_GoBack"/>
      <w:bookmarkEnd w:id="0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nivelul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cercurilor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pedagogice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invatatorilor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Dobra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Medrea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Calea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Publicatii</w:t>
      </w:r>
      <w:proofErr w:type="spellEnd"/>
    </w:p>
    <w:p w:rsidR="00A81D47" w:rsidRDefault="008424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Luna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decembrie</w:t>
      </w:r>
      <w:proofErr w:type="spellEnd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articolul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“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Implicarea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familiei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procesul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instructive-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educativ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publicat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revista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Izvoarele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Sosa Adriana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Medrea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Cilea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articolul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Teoriile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motivatiei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tehnici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motivare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colectivului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publicat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revista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Semnal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Valentina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Adriana;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articolul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Profilul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formare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absolventului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ciclu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publicat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revista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Semnal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Dragomirescu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Concursuri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81D47" w:rsidRDefault="00842452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a)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Luna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noiembrie</w:t>
      </w:r>
      <w:proofErr w:type="spellEnd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Concursul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International 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Discovery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IV a B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Dobra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Alexandra,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Adriana,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Lavinia, Stan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International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Micii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olimpici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IV a B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Dobra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Alexandra,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Adriana,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Lavinia, Stan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National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Amintiri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copilarie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 -</w:t>
      </w:r>
      <w:r>
        <w:rPr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III 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IV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Dobra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Alexandra,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Adriana,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Dragomirescu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Lia, Stan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Ionela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Zonal “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Aripi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notimp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Luna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decembrie</w:t>
      </w:r>
      <w:proofErr w:type="spellEnd"/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Regional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Frumusetea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Craciunului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Concursul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Regional 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veste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minunata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!”-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Andreea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Petrut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Georgeta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Metodist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nivelul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I.S.J. Alba 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Dragomirescu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Luminita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Mentorat</w:t>
      </w:r>
      <w:proofErr w:type="spellEnd"/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Valentina-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indrumarea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studentilor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Universitatii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Decembrie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1918” din Alba Iulia,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Facultatea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Drept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Stiinte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Sociale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specializarea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P.I.P.P.;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Expozitii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lucrari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holurile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salile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curatare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spatiilor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verzi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combatere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violentei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III a 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invatatoarelle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Nadiu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Adriana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colaborare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psihologul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scolii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ctivitati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voluntariat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donare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fructe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legume,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donare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carti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jucarii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ocazia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zile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Decembrie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Nicolae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Craciun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1D47" w:rsidRDefault="00842452">
      <w:pPr>
        <w:pBdr>
          <w:top w:val="nil"/>
          <w:left w:val="nil"/>
          <w:bottom w:val="nil"/>
          <w:right w:val="nil"/>
          <w:between w:val="nil"/>
        </w:pBdr>
        <w:tabs>
          <w:tab w:val="left" w:pos="5832"/>
        </w:tabs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81D47" w:rsidRDefault="00A81D47">
      <w:pPr>
        <w:tabs>
          <w:tab w:val="left" w:pos="583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Asigurarea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resurselor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activitatile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invatare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planificate</w:t>
      </w:r>
      <w:proofErr w:type="spellEnd"/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Fiecare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didactic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preocupat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alegerea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potrivite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utile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resurse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auxiliare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facilita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transmiterea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cunostintelor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formarea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deprinderilor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evaluarea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achizitii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practice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vede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eficientizarii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procesului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instructive-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educativ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selectate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fiecarei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planse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imagini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jocuri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interactive,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filmulete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portofolii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scriitori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formative, teste fo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rmative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summative,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dictionare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aplicatii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PowerPoint,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caiete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special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diferite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discipline,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culegeri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material create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didactic. 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utilizarea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mijloacelor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resurselor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moderne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devenit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imediata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distractiva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1D47" w:rsidRDefault="0084245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Precizari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81D47" w:rsidRDefault="0084245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comisiei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metodice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lectii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deschise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referate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imbunatatirea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).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intalnirilor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  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comsiei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metodice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s-au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discutat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subiect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comisiei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metodice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ajuns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consens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deciziilor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Discutii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s-au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purtat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predarii-invatarii-evaluarii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intregul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ciclul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invatamant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urmarindu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procesul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evolutiv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S-a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realiz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schimb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util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aveau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practic-aplicativ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81D47" w:rsidRDefault="00A81D4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D47" w:rsidRDefault="008424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Masuri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ameliorare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domenii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deficitare</w:t>
      </w:r>
      <w:proofErr w:type="spellEnd"/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imbunatatirea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situatiei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invatatura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obtinerea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rezultate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urmarit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participarea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cursuri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rfectionare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imbunatatirea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comunicarii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profesionale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cadre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sprijinirea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tinere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experienta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vederea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eficientizarii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activitatii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1D47" w:rsidRDefault="008424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gasirea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modalitati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care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motiva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sa-si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practice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efectiv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rolul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parteneri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scolii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educative;</w:t>
      </w:r>
    </w:p>
    <w:p w:rsidR="00A81D47" w:rsidRDefault="00A81D47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D47" w:rsidRDefault="00842452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Intocmit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prof. pt. inv.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primar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81D47" w:rsidRDefault="00842452">
      <w:pPr>
        <w:pBdr>
          <w:top w:val="nil"/>
          <w:left w:val="nil"/>
          <w:bottom w:val="nil"/>
          <w:right w:val="nil"/>
          <w:between w:val="nil"/>
        </w:pBdr>
        <w:ind w:left="108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Posogan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Lavinia Valentina </w:t>
      </w:r>
    </w:p>
    <w:sectPr w:rsidR="00A81D47">
      <w:headerReference w:type="default" r:id="rId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452" w:rsidRDefault="00842452">
      <w:pPr>
        <w:spacing w:after="0" w:line="240" w:lineRule="auto"/>
      </w:pPr>
      <w:r>
        <w:separator/>
      </w:r>
    </w:p>
  </w:endnote>
  <w:endnote w:type="continuationSeparator" w:id="0">
    <w:p w:rsidR="00842452" w:rsidRDefault="00842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452" w:rsidRDefault="00842452">
      <w:pPr>
        <w:spacing w:after="0" w:line="240" w:lineRule="auto"/>
      </w:pPr>
      <w:r>
        <w:separator/>
      </w:r>
    </w:p>
  </w:footnote>
  <w:footnote w:type="continuationSeparator" w:id="0">
    <w:p w:rsidR="00842452" w:rsidRDefault="00842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MINISTERUL EDUCATIEI ŞI CERCETĂRII </w:t>
    </w:r>
    <w:r>
      <w:rPr>
        <w:noProof/>
        <w:color w:val="000000"/>
        <w:lang w:val="ro-RO"/>
      </w:rPr>
      <w:pict>
        <v:shapetype id="_x0000_m3085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o:lock v:ext="edit" text="t" shapetype="t"/>
        </v:shapetype>
      </w:pict>
    </w:r>
    <w:r>
      <w:rPr>
        <w:noProof/>
        <w:color w:val="000000"/>
        <w:lang w:val="ro-RO"/>
      </w:rPr>
      <w:pict>
        <v:shapetype id="_x0000_m3084" coordsize="21600,21600" o:spt="161" adj="4050" path="m,c7200@0,14400@0,21600,m,21600c7200@1,14400@1,21600,21600e">
          <v:formulas>
            <v:f eqn="prod #0 4 3"/>
            <v:f eqn="sum 21600 0 @0"/>
            <v:f eqn="val #0"/>
            <v:f eqn="sum 21600 0 #0"/>
          </v:formulas>
          <v:path textpathok="t" o:connecttype="custom" o:connectlocs="10800,@2;0,10800;10800,@3;21600,10800" o:connectangles="270,180,90,0"/>
          <v:textpath on="t" fitshape="t" xscale="t"/>
          <o:lock v:ext="edit" text="t" shapetype="t"/>
        </v:shapetype>
      </w:pict>
    </w:r>
    <w:r>
      <w:object w:dxaOrig="1440" w:dyaOrig="1440">
        <v:group id="_x0000_s3073" style="position:absolute;margin-left:-37.3pt;margin-top:4.3pt;width:59.25pt;height:60.9pt;z-index:251658752;mso-position-horizontal-relative:margin;mso-position-vertical-relative:text" coordorigin="10829,10591" coordsize="226,221">
          <v:oval id="_x0000_s3074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3075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3075;mso-column-margin:2mm" inset="2.88pt,2.88pt,2.88pt,2.88pt">
              <w:txbxContent>
                <w:p w:rsidR="00D92629" w:rsidRDefault="00842452" w:rsidP="00D92629"/>
              </w:txbxContent>
            </v:textbox>
          </v:oval>
          <v:rect id="_x0000_s3076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1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077" type="#_x0000_t75" style="position:absolute;left:10906;top:10674;width:72;height:48" o:cliptowrap="t">
            <v:imagedata r:id="rId2" o:title="32"/>
          </v:shape>
          <v:shape id="_x0000_s3078" type="#_x0000_m3085" style="position:absolute;left:10850;top:10612;width:186;height:148;mso-wrap-distance-left:2.88pt;mso-wrap-distance-top:2.88pt;mso-wrap-distance-right:2.88pt;mso-wrap-distance-bottom:2.88pt" o:spt="144" adj="11009408" path="al10800,10800,10800,10800@2@14e" fillcolor="yellow" o:cliptowrap="t">
            <v:shadow type="single" color="#868686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font-family:&quot;Arial Black&quot;;v-text-kern:t" fitshape="t" trim="t" fitpath="t" string="COLEGIUL TEHNIC &quot;APULUM&quot;"/>
            <o:lock v:ext="edit" text="t" shapetype="t"/>
          </v:shape>
          <v:shape id="_x0000_s3079" type="#_x0000_m3084" style="position:absolute;left:10910;top:10782;width:70;height:25;mso-wrap-distance-left:2.88pt;mso-wrap-distance-top:2.88pt;mso-wrap-distance-right:2.88pt;mso-wrap-distance-bottom:2.88pt" o:spt="161" adj="2898" path="m,c7200@0,14400@0,21600,m,21600c7200@1,14400@1,21600,21600e" fillcolor="yellow" o:cliptowrap="t">
            <v:shadow type="single" color="#868686"/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style="font-family:&quot;Arial Black&quot;;font-size:16pt;v-text-kern:t" fitshape="t" trim="t" fitpath="t" xscale="t" string="ALBA IULIA"/>
            <o:lock v:ext="edit" text="t" shapetype="t"/>
          </v:shape>
          <v:shape id="_x0000_s3080" type="#_x0000_t75" style="position:absolute;left:10867;top:10674;width:33;height:46;mso-wrap-edited:t" wrapcoords="-960 -450 -960 22206 22560 22206 22560 -450 -960 -450" o:clip="t" o:cliptowrap="t">
            <v:imagedata r:id="rId3" o:title="04_fill_buret_P5064166" blacklevel="1966f"/>
          </v:shape>
          <v:rect id="_x0000_s3081" style="position:absolute;left:10982;top:10674;width:38;height:46" o:preferrelative="t" filled="f" stroked="f" insetpen="t" o:cliptowrap="t">
            <v:imagedata r:id="rId4" o:title=""/>
            <v:path o:extrusionok="f"/>
            <o:lock v:ext="edit" aspectratio="t"/>
          </v:rect>
          <v:shape id="_x0000_s3082" type="#_x0000_t75" style="position:absolute;left:10946;top:10731;width:32;height:40" o:cliptowrap="t">
            <v:imagedata r:id="rId5" o:title="q_rdzjvy[1]"/>
          </v:shape>
          <v:shape id="_x0000_s3083" type="#_x0000_t75" style="position:absolute;left:10903;top:10731;width:31;height:40" o:cliptowrap="t">
            <v:imagedata r:id="rId6" o:title="umrjut21[1]" grayscale="t"/>
          </v:shape>
          <w10:wrap anchorx="margin"/>
        </v:group>
        <o:OLEObject Type="Embed" ProgID="Word.Document.8" ShapeID="_x0000_s3080" DrawAspect="Content" ObjectID="_1641881081" r:id="rId7"/>
        <o:OLEObject Type="Embed" ProgID="PBrush" ShapeID="_x0000_s3081" DrawAspect="Content" ObjectID="_1641881082" r:id="rId8"/>
      </w:object>
    </w:r>
  </w:p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</w:t>
    </w:r>
    <w:proofErr w:type="spellStart"/>
    <w:r>
      <w:rPr>
        <w:color w:val="000000"/>
      </w:rPr>
      <w:t>Colegiul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Tehnic</w:t>
    </w:r>
    <w:proofErr w:type="spellEnd"/>
    <w:r>
      <w:rPr>
        <w:color w:val="000000"/>
      </w:rPr>
      <w:t xml:space="preserve"> „</w:t>
    </w:r>
    <w:proofErr w:type="spellStart"/>
    <w:r>
      <w:rPr>
        <w:color w:val="000000"/>
      </w:rPr>
      <w:t>Apulum</w:t>
    </w:r>
    <w:proofErr w:type="spellEnd"/>
    <w:r>
      <w:rPr>
        <w:color w:val="000000"/>
      </w:rPr>
      <w:t>” Alba Iulia</w:t>
    </w:r>
  </w:p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</w:t>
    </w:r>
    <w:r w:rsidR="00E02CB7">
      <w:rPr>
        <w:color w:val="000000"/>
      </w:rPr>
      <w:t xml:space="preserve">    </w:t>
    </w:r>
    <w:r>
      <w:rPr>
        <w:color w:val="000000"/>
      </w:rPr>
      <w:t xml:space="preserve"> Str. Gheorghe Pop de </w:t>
    </w:r>
    <w:proofErr w:type="spellStart"/>
    <w:r>
      <w:rPr>
        <w:color w:val="000000"/>
      </w:rPr>
      <w:t>Basesti</w:t>
    </w:r>
    <w:proofErr w:type="spellEnd"/>
    <w:r>
      <w:rPr>
        <w:color w:val="000000"/>
      </w:rPr>
      <w:t xml:space="preserve"> nr.2, cod 510215, </w:t>
    </w:r>
    <w:proofErr w:type="spellStart"/>
    <w:r>
      <w:rPr>
        <w:color w:val="000000"/>
      </w:rPr>
      <w:t>jud</w:t>
    </w:r>
    <w:proofErr w:type="spellEnd"/>
    <w:r>
      <w:rPr>
        <w:color w:val="000000"/>
      </w:rPr>
      <w:t xml:space="preserve">. Alba </w:t>
    </w:r>
  </w:p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Tel</w:t>
    </w:r>
    <w:proofErr w:type="gramStart"/>
    <w:r>
      <w:rPr>
        <w:color w:val="000000"/>
      </w:rPr>
      <w:t>./</w:t>
    </w:r>
    <w:proofErr w:type="gramEnd"/>
    <w:r>
      <w:rPr>
        <w:color w:val="000000"/>
      </w:rPr>
      <w:t>fax: 0258 834102</w:t>
    </w:r>
  </w:p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Web: www.aicta.ro</w:t>
    </w:r>
  </w:p>
  <w:p w:rsidR="00A81D47" w:rsidRDefault="00842452">
    <w:pPr>
      <w:pBdr>
        <w:top w:val="nil"/>
        <w:left w:val="nil"/>
        <w:bottom w:val="nil"/>
        <w:right w:val="nil"/>
        <w:between w:val="nil"/>
      </w:pBdr>
      <w:tabs>
        <w:tab w:val="left" w:pos="2364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Mail: office@aicta.ro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004"/>
    <w:multiLevelType w:val="multilevel"/>
    <w:tmpl w:val="3ECC67A8"/>
    <w:lvl w:ilvl="0">
      <w:start w:val="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29322D"/>
    <w:multiLevelType w:val="multilevel"/>
    <w:tmpl w:val="6366A0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DA4D9E"/>
    <w:multiLevelType w:val="multilevel"/>
    <w:tmpl w:val="F7E26416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E1F24F1"/>
    <w:multiLevelType w:val="multilevel"/>
    <w:tmpl w:val="E33294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AC1331F"/>
    <w:multiLevelType w:val="multilevel"/>
    <w:tmpl w:val="DD04A746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2E27A1"/>
    <w:multiLevelType w:val="multilevel"/>
    <w:tmpl w:val="18EC96B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760BA2"/>
    <w:multiLevelType w:val="multilevel"/>
    <w:tmpl w:val="0DC0D9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D7708C"/>
    <w:multiLevelType w:val="multilevel"/>
    <w:tmpl w:val="D10673EA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AD647EC"/>
    <w:multiLevelType w:val="multilevel"/>
    <w:tmpl w:val="F5AEA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308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47"/>
    <w:rsid w:val="00842452"/>
    <w:rsid w:val="00A81D47"/>
    <w:rsid w:val="00E0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6"/>
    <o:shapelayout v:ext="edit">
      <o:idmap v:ext="edit" data="1"/>
    </o:shapelayout>
  </w:shapeDefaults>
  <w:decimalSymbol w:val="."/>
  <w:listSeparator w:val=","/>
  <w15:docId w15:val="{845205FE-2944-4D89-A8F1-8802B416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et">
    <w:name w:val="header"/>
    <w:basedOn w:val="Normal"/>
    <w:link w:val="AntetCaracter"/>
    <w:uiPriority w:val="99"/>
    <w:unhideWhenUsed/>
    <w:rsid w:val="00E0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02CB7"/>
  </w:style>
  <w:style w:type="paragraph" w:styleId="Subsol">
    <w:name w:val="footer"/>
    <w:basedOn w:val="Normal"/>
    <w:link w:val="SubsolCaracter"/>
    <w:uiPriority w:val="99"/>
    <w:unhideWhenUsed/>
    <w:rsid w:val="00E0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02CB7"/>
  </w:style>
  <w:style w:type="paragraph" w:styleId="TextnBalon">
    <w:name w:val="Balloon Text"/>
    <w:basedOn w:val="Normal"/>
    <w:link w:val="TextnBalonCaracter"/>
    <w:uiPriority w:val="99"/>
    <w:semiHidden/>
    <w:unhideWhenUsed/>
    <w:rsid w:val="00E02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2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image" Target="media/image3.emf"/><Relationship Id="rId7" Type="http://schemas.openxmlformats.org/officeDocument/2006/relationships/oleObject" Target="embeddings/Microsoft_Office_Word_97_-_2003_Document11.doc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1415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Jeler Mirela Rodica</cp:lastModifiedBy>
  <cp:revision>3</cp:revision>
  <cp:lastPrinted>2020-01-30T07:13:00Z</cp:lastPrinted>
  <dcterms:created xsi:type="dcterms:W3CDTF">2020-01-30T07:12:00Z</dcterms:created>
  <dcterms:modified xsi:type="dcterms:W3CDTF">2020-01-30T07:18:00Z</dcterms:modified>
</cp:coreProperties>
</file>